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</w:t>
      </w:r>
      <w:r>
        <w:rPr>
          <w:rFonts w:ascii="Times New Roman" w:eastAsia="Times New Roman" w:hAnsi="Times New Roman" w:cs="Times New Roman"/>
          <w:sz w:val="26"/>
          <w:szCs w:val="26"/>
        </w:rPr>
        <w:t>жденное по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 в отношении должностного лица –генерального директора </w:t>
      </w:r>
      <w:r>
        <w:rPr>
          <w:rStyle w:val="cat-OrganizationNamegrp-21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помещ.1005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Федерального закона от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2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sz w:val="26"/>
          <w:szCs w:val="26"/>
        </w:rPr>
        <w:t>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8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ст.ст.17, 19,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 раздел 2).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взносах в составе единой формы (форма ЕФС-1 раздел 2) предоставляются страхователями в Отделение Фонда не позднее 25-го числа календарного месяца, следующего за отчетным.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25200</w:t>
      </w:r>
      <w:r>
        <w:rPr>
          <w:rFonts w:ascii="Times New Roman" w:eastAsia="Times New Roman" w:hAnsi="Times New Roman" w:cs="Times New Roman"/>
          <w:sz w:val="26"/>
          <w:szCs w:val="26"/>
        </w:rPr>
        <w:t>710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1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Style w:val="cat-OrganizationNamegrp-21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19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200525</w:t>
      </w:r>
      <w:r>
        <w:rPr>
          <w:rFonts w:ascii="Times New Roman" w:eastAsia="Times New Roman" w:hAnsi="Times New Roman" w:cs="Times New Roman"/>
          <w:sz w:val="26"/>
          <w:szCs w:val="26"/>
        </w:rPr>
        <w:t>0188306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rFonts w:ascii="Times New Roman" w:eastAsia="Times New Roman" w:hAnsi="Times New Roman" w:cs="Times New Roman"/>
        <w:sz w:val="22"/>
        <w:szCs w:val="22"/>
      </w:rPr>
      <w:t>дело №5-728</w:t>
    </w:r>
    <w:r>
      <w:rPr>
        <w:rFonts w:ascii="Times New Roman" w:eastAsia="Times New Roman" w:hAnsi="Times New Roman" w:cs="Times New Roman"/>
        <w:sz w:val="22"/>
        <w:szCs w:val="22"/>
      </w:rPr>
      <w:t>-2803/2025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OrganizationNamegrp-21rplc-30">
    <w:name w:val="cat-OrganizationName grp-2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OrganizationNamegrp-21rplc-32">
    <w:name w:val="cat-OrganizationName grp-21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